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outlineLvl w:val="0"/>
        <w:rPr>
          <w:rFonts w:hint="eastAsia" w:ascii="黑体" w:hAnsi="黑体" w:eastAsia="黑体" w:cs="黑体"/>
          <w:snapToGrid w:val="0"/>
          <w:spacing w:val="10"/>
          <w:kern w:val="0"/>
          <w:szCs w:val="32"/>
          <w:lang w:bidi="ar"/>
        </w:rPr>
      </w:pPr>
      <w:bookmarkStart w:id="13" w:name="_GoBack"/>
      <w:bookmarkEnd w:id="13"/>
      <w:bookmarkStart w:id="0" w:name="_Toc26132"/>
      <w:bookmarkStart w:id="1" w:name="_Toc22999"/>
      <w:bookmarkStart w:id="2" w:name="_Toc14245"/>
      <w:bookmarkStart w:id="3" w:name="_Toc20290"/>
      <w:bookmarkStart w:id="4" w:name="_Toc1212"/>
      <w:bookmarkStart w:id="5" w:name="_Toc16541"/>
      <w:r>
        <w:rPr>
          <w:rFonts w:hint="eastAsia" w:ascii="黑体" w:hAnsi="黑体" w:eastAsia="黑体" w:cs="黑体"/>
          <w:snapToGrid w:val="0"/>
          <w:spacing w:val="10"/>
          <w:kern w:val="0"/>
          <w:szCs w:val="32"/>
          <w:lang w:bidi="ar"/>
        </w:rPr>
        <w:t>附件1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rPr>
          <w:rFonts w:hint="eastAsia"/>
          <w:sz w:val="44"/>
          <w:szCs w:val="32"/>
        </w:rPr>
      </w:pPr>
      <w:bookmarkStart w:id="6" w:name="_Toc16078"/>
      <w:bookmarkStart w:id="7" w:name="_Toc21055"/>
      <w:bookmarkStart w:id="8" w:name="_Toc22435"/>
      <w:bookmarkStart w:id="9" w:name="_Toc1092"/>
      <w:bookmarkStart w:id="10" w:name="_Toc13707"/>
      <w:bookmarkStart w:id="11" w:name="_Toc181357391"/>
      <w:bookmarkStart w:id="12" w:name="_Toc6696"/>
      <w:r>
        <w:rPr>
          <w:rFonts w:hint="eastAsia"/>
          <w:sz w:val="44"/>
          <w:szCs w:val="32"/>
        </w:rPr>
        <w:t>乐企联用直连接入（变更）信息表</w:t>
      </w:r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Style w:val="5"/>
        <w:tblW w:w="14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81"/>
        <w:gridCol w:w="139"/>
        <w:gridCol w:w="1051"/>
        <w:gridCol w:w="594"/>
        <w:gridCol w:w="1864"/>
        <w:gridCol w:w="584"/>
        <w:gridCol w:w="787"/>
        <w:gridCol w:w="2130"/>
        <w:gridCol w:w="410"/>
        <w:gridCol w:w="1675"/>
        <w:gridCol w:w="1100"/>
        <w:gridCol w:w="185"/>
        <w:gridCol w:w="1328"/>
        <w:gridCol w:w="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75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both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单位</w:t>
            </w:r>
          </w:p>
          <w:p>
            <w:pPr>
              <w:widowControl/>
              <w:spacing w:line="340" w:lineRule="exact"/>
              <w:ind w:firstLine="0" w:firstLineChars="0"/>
              <w:jc w:val="both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信息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统一社会信用代码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直连单位名称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66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9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直连的自有信息系统名称</w:t>
            </w:r>
          </w:p>
        </w:tc>
        <w:tc>
          <w:tcPr>
            <w:tcW w:w="32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直连单位联系人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66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96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32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直连单位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网络安全负责人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相关资质信息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1.实缴注册资本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2.申请接入前12个月，直连单位和拟邀请的使用单位通过直连单位自有信息系统开展</w:t>
            </w:r>
            <w:r>
              <w:rPr>
                <w:rFonts w:hint="eastAsia" w:cs="仿宋_GB2312"/>
                <w:b/>
                <w:bCs/>
                <w:kern w:val="0"/>
                <w:sz w:val="24"/>
                <w:lang w:val="en-US" w:eastAsia="zh-CN"/>
              </w:rPr>
              <w:t>交易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累计收入金额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3.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近</w:t>
            </w:r>
            <w:r>
              <w:rPr>
                <w:rFonts w:hint="eastAsia" w:cs="仿宋_GB2312"/>
                <w:b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年纳税信用等级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4.近三年内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是否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存在重大税收违法行为、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是否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发生重大舆情</w:t>
            </w:r>
          </w:p>
        </w:tc>
        <w:tc>
          <w:tcPr>
            <w:tcW w:w="3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eastAsia="仿宋_GB2312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5</w:t>
            </w:r>
            <w:r>
              <w:rPr>
                <w:rFonts w:hint="eastAsia" w:cs="仿宋_GB2312"/>
                <w:b/>
                <w:bCs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是否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具备专业的信息化建设、服务、运维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、安全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能力，企业自有信息系统具有软件著作权、使用权或相关授权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  <w:lang w:val="en-US" w:eastAsia="zh-CN"/>
              </w:rPr>
              <w:t>6.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是否属于可以</w:t>
            </w:r>
            <w:r>
              <w:rPr>
                <w:rFonts w:hint="eastAsia" w:cs="仿宋_GB2312"/>
                <w:b/>
                <w:bCs/>
                <w:kern w:val="0"/>
                <w:sz w:val="24"/>
                <w:lang w:eastAsia="zh-CN"/>
              </w:rPr>
              <w:t>调整</w:t>
            </w:r>
            <w:r>
              <w:rPr>
                <w:rFonts w:hint="eastAsia" w:cs="仿宋_GB2312"/>
                <w:b/>
                <w:bCs/>
                <w:kern w:val="0"/>
                <w:sz w:val="24"/>
              </w:rPr>
              <w:t>接入条件的情形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271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3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69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申请信息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申请类型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□接入  □变更  □终止</w:t>
            </w:r>
          </w:p>
        </w:tc>
        <w:tc>
          <w:tcPr>
            <w:tcW w:w="29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变更、终止原因</w:t>
            </w:r>
          </w:p>
        </w:tc>
        <w:tc>
          <w:tcPr>
            <w:tcW w:w="469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88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变更、终止生效时间</w:t>
            </w:r>
          </w:p>
        </w:tc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2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  <w:tc>
          <w:tcPr>
            <w:tcW w:w="469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87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项目报告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center" w:pos="483"/>
              </w:tabs>
              <w:spacing w:line="3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业务情况说明</w:t>
            </w:r>
          </w:p>
        </w:tc>
        <w:tc>
          <w:tcPr>
            <w:tcW w:w="118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tabs>
                <w:tab w:val="center" w:pos="483"/>
              </w:tabs>
              <w:spacing w:line="380" w:lineRule="exact"/>
              <w:ind w:left="0" w:lef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(拟申请乐企联用的经营范围、经营模式、涉税业务、业务发生量、数据流向、操作说明、使用人群、使用单位原始交易数据在直连单位自有信息系统中生成方式等内容，超过500字可另提交附件)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00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技术情况说明</w:t>
            </w:r>
          </w:p>
        </w:tc>
        <w:tc>
          <w:tcPr>
            <w:tcW w:w="118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(包括直连平台的网络环境、安全方案、硬件环境、系统设计、技术实现方式等内容，超过500字可另提交附件)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95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</w:rPr>
              <w:t>涉税风险防控方案</w:t>
            </w:r>
          </w:p>
        </w:tc>
        <w:tc>
          <w:tcPr>
            <w:tcW w:w="118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0" w:firstLineChars="0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(包括涉税风险防控要求、风险防控指标、风险应对措施、日常监控等内容，超过500字可另提交附件)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0" w:hRule="atLeast"/>
          <w:jc w:val="center"/>
        </w:trPr>
        <w:tc>
          <w:tcPr>
            <w:tcW w:w="13878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本单位对填写的上述内容及提交的相关材料的真实性负责。如有不实，本单位自愿承担法律责任。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firstLine="0" w:firstLineChars="0"/>
              <w:jc w:val="righ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 xml:space="preserve">直连单位法定代表人（签字）：                     </w:t>
            </w:r>
          </w:p>
          <w:p>
            <w:pPr>
              <w:widowControl/>
              <w:spacing w:line="340" w:lineRule="exact"/>
              <w:ind w:firstLine="0" w:firstLineChars="0"/>
              <w:jc w:val="right"/>
              <w:rPr>
                <w:rFonts w:hint="eastAsia" w:cs="仿宋_GB2312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firstLine="0" w:firstLineChars="0"/>
              <w:jc w:val="righ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 xml:space="preserve">（直连单位盖章）         </w:t>
            </w:r>
          </w:p>
          <w:p>
            <w:pPr>
              <w:widowControl/>
              <w:wordWrap w:val="0"/>
              <w:spacing w:line="340" w:lineRule="exact"/>
              <w:ind w:firstLine="0" w:firstLineChars="0"/>
              <w:jc w:val="right"/>
              <w:rPr>
                <w:rFonts w:hint="eastAsia" w:cs="仿宋_GB2312"/>
                <w:kern w:val="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 xml:space="preserve">年   月   日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878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78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78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13878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3878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Cs w:val="21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hint="eastAsia" w:cs="仿宋_GB2312"/>
                <w:kern w:val="0"/>
                <w:sz w:val="16"/>
                <w:szCs w:val="16"/>
              </w:rPr>
            </w:pPr>
          </w:p>
        </w:tc>
      </w:tr>
    </w:tbl>
    <w:p>
      <w:pPr>
        <w:widowControl/>
        <w:jc w:val="left"/>
        <w:rPr>
          <w:rFonts w:hint="eastAsia" w:cs="仿宋_GB2312"/>
          <w:kern w:val="0"/>
          <w:szCs w:val="21"/>
        </w:rPr>
        <w:sectPr>
          <w:pgSz w:w="16838" w:h="11906" w:orient="landscape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6731E5"/>
    <w:rsid w:val="AF6731E5"/>
    <w:rsid w:val="DB7D3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  <w:textAlignment w:val="center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0" w:firstLineChars="0"/>
      <w:jc w:val="center"/>
      <w:textAlignment w:val="center"/>
      <w:outlineLvl w:val="0"/>
    </w:pPr>
    <w:rPr>
      <w:rFonts w:eastAsia="方正小标宋简体"/>
      <w:bCs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/>
      <w:sz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2026-03-14T00:49:00Z</dcterms:created>
  <dc:creator>wengzhihuan</dc:creator>
  <cp:lastModifiedBy>wengzhihuan</cp:lastModifiedBy>
  <dcterms:modified xsi:type="dcterms:W3CDTF">2026-03-13T18:25:30Z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